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
      </w:r>
    </w:p>
    <w:p>
      <w:pPr/>
      <w:r>
        <w:rPr>
          <w:rFonts w:ascii="Helvetica" w:hAnsi="Helvetica" w:cs="Helvetica"/>
          <w:sz w:val="30"/>
          <w:sz-cs w:val="30"/>
          <w:b/>
        </w:rPr>
        <w:t xml:space="preserve">COMPLIANCE </w:t>
      </w:r>
    </w:p>
    <w:p>
      <w:pPr/>
      <w:r>
        <w:rPr>
          <w:rFonts w:ascii="Helvetica" w:hAnsi="Helvetica" w:cs="Helvetica"/>
          <w:sz w:val="30"/>
          <w:sz-cs w:val="30"/>
          <w:b/>
        </w:rPr>
        <w:t xml:space="preserve"/>
      </w:r>
    </w:p>
    <w:p>
      <w:pPr/>
      <w:r>
        <w:rPr>
          <w:rFonts w:ascii="Helvetica" w:hAnsi="Helvetica" w:cs="Helvetica"/>
          <w:sz w:val="30"/>
          <w:sz-cs w:val="30"/>
        </w:rPr>
        <w:t xml:space="preserve">Friday, 09 October 2020</w:t>
      </w:r>
    </w:p>
    <w:p>
      <w:pPr/>
      <w:r>
        <w:rPr>
          <w:rFonts w:ascii="Helvetica" w:hAnsi="Helvetica" w:cs="Helvetica"/>
          <w:sz w:val="30"/>
          <w:sz-cs w:val="30"/>
        </w:rPr>
        <w:t xml:space="preserve"/>
      </w:r>
    </w:p>
    <w:p>
      <w:pPr/>
      <w:r>
        <w:rPr>
          <w:rFonts w:ascii="Helvetica" w:hAnsi="Helvetica" w:cs="Helvetica"/>
          <w:sz w:val="30"/>
          <w:sz-cs w:val="30"/>
        </w:rPr>
        <w:t xml:space="preserve">Dear Sir or Madam,</w:t>
      </w:r>
    </w:p>
    <w:p>
      <w:pPr/>
      <w:r>
        <w:rPr>
          <w:rFonts w:ascii="Helvetica" w:hAnsi="Helvetica" w:cs="Helvetica"/>
          <w:sz w:val="30"/>
          <w:sz-cs w:val="30"/>
        </w:rPr>
        <w:t xml:space="preserve"/>
      </w:r>
    </w:p>
    <w:p>
      <w:pPr/>
      <w:r>
        <w:rPr>
          <w:rFonts w:ascii="Helvetica" w:hAnsi="Helvetica" w:cs="Helvetica"/>
          <w:sz w:val="30"/>
          <w:sz-cs w:val="30"/>
        </w:rPr>
        <w:t xml:space="preserve">in relation to and in view of the highest court decision of the German Federal Supreme Court (BGH) of 9 May 2017, file number: 1 StR 265/16, where it was decided that an efficient Compliance Management System (CMS) is to be taken into account to reduce the sanction against companies, here to avoid a sanction according to § 30 para. 1 Ordnungswidrigkeiten Gesetz (OWiG) we determine in advance of internal audits, here in view of necessary compliance controls, that the following processes are to be taken into account:</w:t>
      </w:r>
    </w:p>
    <w:p>
      <w:pPr/>
      <w:r>
        <w:rPr>
          <w:rFonts w:ascii="Helvetica" w:hAnsi="Helvetica" w:cs="Helvetica"/>
          <w:sz w:val="30"/>
          <w:sz-cs w:val="30"/>
        </w:rPr>
        <w:t xml:space="preserve"/>
      </w:r>
    </w:p>
    <w:p>
      <w:pPr/>
      <w:r>
        <w:rPr>
          <w:rFonts w:ascii="Helvetica" w:hAnsi="Helvetica" w:cs="Helvetica"/>
          <w:sz w:val="30"/>
          <w:sz-cs w:val="30"/>
        </w:rPr>
        <w:t xml:space="preserve">Risk analysis processes</w:t>
      </w:r>
    </w:p>
    <w:p>
      <w:pPr/>
      <w:r>
        <w:rPr>
          <w:rFonts w:ascii="Helvetica" w:hAnsi="Helvetica" w:cs="Helvetica"/>
          <w:sz w:val="30"/>
          <w:sz-cs w:val="30"/>
        </w:rPr>
        <w:t xml:space="preserve">- Partial process control was used to identify threats and dangers within the value-adding activities of GSB Gold Standard Banking Corporation AG, measured here in relation to the article published above.</w:t>
      </w:r>
    </w:p>
    <w:p>
      <w:pPr/>
      <w:r>
        <w:rPr>
          <w:rFonts w:ascii="Helvetica" w:hAnsi="Helvetica" w:cs="Helvetica"/>
          <w:sz w:val="30"/>
          <w:sz-cs w:val="30"/>
        </w:rPr>
        <w:t xml:space="preserve"/>
      </w:r>
    </w:p>
    <w:p>
      <w:pPr/>
      <w:r>
        <w:rPr>
          <w:rFonts w:ascii="Helvetica" w:hAnsi="Helvetica" w:cs="Helvetica"/>
          <w:sz w:val="30"/>
          <w:sz-cs w:val="30"/>
        </w:rPr>
        <w:t xml:space="preserve">Processes of deviation analysis</w:t>
      </w:r>
    </w:p>
    <w:p>
      <w:pPr/>
      <w:r>
        <w:rPr>
          <w:rFonts w:ascii="Helvetica" w:hAnsi="Helvetica" w:cs="Helvetica"/>
          <w:sz w:val="30"/>
          <w:sz-cs w:val="30"/>
        </w:rPr>
        <w:t xml:space="preserve">- processes, these correspond to the realised actual value of the sequence of activities outside the defined tolerance range around the target value, here measured for the above-mentioned published article.</w:t>
      </w:r>
    </w:p>
    <w:p>
      <w:pPr/>
      <w:r>
        <w:rPr>
          <w:rFonts w:ascii="Helvetica" w:hAnsi="Helvetica" w:cs="Helvetica"/>
          <w:sz w:val="30"/>
          <w:sz-cs w:val="30"/>
        </w:rPr>
        <w:t xml:space="preserve"/>
      </w:r>
    </w:p>
    <w:p>
      <w:pPr/>
      <w:r>
        <w:rPr>
          <w:rFonts w:ascii="Helvetica" w:hAnsi="Helvetica" w:cs="Helvetica"/>
          <w:sz w:val="30"/>
          <w:sz-cs w:val="30"/>
        </w:rPr>
        <w:t xml:space="preserve">Processes of dealing with exceptional situations</w:t>
      </w:r>
    </w:p>
    <w:p>
      <w:pPr/>
      <w:r>
        <w:rPr>
          <w:rFonts w:ascii="Helvetica" w:hAnsi="Helvetica" w:cs="Helvetica"/>
          <w:sz w:val="30"/>
          <w:sz-cs w:val="30"/>
        </w:rPr>
        <w:t xml:space="preserve">- The focus was on the (potential) occurrence of serious events with considerable critical relevance for GSB Gold Standard Banking Corporation AG, measured here in relation to the above-mentioned published article.</w:t>
      </w:r>
    </w:p>
    <w:p>
      <w:pPr/>
      <w:r>
        <w:rPr>
          <w:rFonts w:ascii="Helvetica" w:hAnsi="Helvetica" w:cs="Helvetica"/>
          <w:sz w:val="30"/>
          <w:sz-cs w:val="30"/>
        </w:rPr>
        <w:t xml:space="preserve"/>
      </w:r>
    </w:p>
    <w:p>
      <w:pPr/>
      <w:r>
        <w:rPr>
          <w:rFonts w:ascii="Helvetica" w:hAnsi="Helvetica" w:cs="Helvetica"/>
          <w:sz w:val="30"/>
          <w:sz-cs w:val="30"/>
        </w:rPr>
        <w:t xml:space="preserve">Processes of Escalation</w:t>
      </w:r>
    </w:p>
    <w:p>
      <w:pPr/>
      <w:r>
        <w:rPr>
          <w:rFonts w:ascii="Helvetica" w:hAnsi="Helvetica" w:cs="Helvetica"/>
          <w:sz w:val="30"/>
          <w:sz-cs w:val="30"/>
        </w:rPr>
        <w:t xml:space="preserve">- The subject of a possible escalation process was the resolution of situations that had already arisen as well as the prevention of non-compliance situations to be feared. For GSB Gold Standard Banking Corporation AG, the aim of these processes was to escalate critical activities, measured here in relation to the article published above.</w:t>
      </w:r>
    </w:p>
    <w:p>
      <w:pPr/>
      <w:r>
        <w:rPr>
          <w:rFonts w:ascii="Helvetica" w:hAnsi="Helvetica" w:cs="Helvetica"/>
          <w:sz w:val="30"/>
          <w:sz-cs w:val="30"/>
        </w:rPr>
        <w:t xml:space="preserve"/>
      </w:r>
    </w:p>
    <w:p>
      <w:pPr/>
      <w:r>
        <w:rPr>
          <w:rFonts w:ascii="Helvetica" w:hAnsi="Helvetica" w:cs="Helvetica"/>
          <w:sz w:val="30"/>
          <w:sz-cs w:val="30"/>
        </w:rPr>
        <w:t xml:space="preserve">The necessity to comply with legal regulations arises from the principle that laws - including those of legal entities - must be observed, which was verified by our internal media audit. </w:t>
      </w:r>
    </w:p>
    <w:p>
      <w:pPr/>
      <w:r>
        <w:rPr>
          <w:rFonts w:ascii="Helvetica" w:hAnsi="Helvetica" w:cs="Helvetica"/>
          <w:sz w:val="30"/>
          <w:sz-cs w:val="30"/>
        </w:rPr>
        <w:t xml:space="preserve"/>
      </w:r>
    </w:p>
    <w:p>
      <w:pPr/>
      <w:r>
        <w:rPr>
          <w:rFonts w:ascii="Helvetica" w:hAnsi="Helvetica" w:cs="Helvetica"/>
          <w:sz w:val="30"/>
          <w:sz-cs w:val="30"/>
        </w:rPr>
        <w:t xml:space="preserve">An obligation to ensure compliance with the rules arises for our current internal audit, to avoid possible economic damage, here for our company, GSB Gold Standard Banking Corporation AG.</w:t>
      </w:r>
    </w:p>
    <w:p>
      <w:pPr/>
      <w:r>
        <w:rPr>
          <w:rFonts w:ascii="Helvetica" w:hAnsi="Helvetica" w:cs="Helvetica"/>
          <w:sz w:val="30"/>
          <w:sz-cs w:val="30"/>
        </w:rPr>
        <w:t xml:space="preserve"/>
      </w:r>
    </w:p>
    <w:p>
      <w:pPr/>
      <w:r>
        <w:rPr>
          <w:rFonts w:ascii="Helvetica" w:hAnsi="Helvetica" w:cs="Helvetica"/>
          <w:sz w:val="30"/>
          <w:sz-cs w:val="30"/>
        </w:rPr>
        <w:t xml:space="preserve">Risk minimisation, increased efficiency and increased effectiveness are the primary objectives of our Group Compliance, which is why we ask you to adhere to the following guidelines:</w:t>
        <w:br/>
        <w:t xml:space="preserve"/>
      </w:r>
    </w:p>
    <w:p>
      <w:pPr/>
      <w:r>
        <w:rPr>
          <w:rFonts w:ascii="Helvetica" w:hAnsi="Helvetica" w:cs="Helvetica"/>
          <w:sz w:val="30"/>
          <w:sz-cs w:val="30"/>
        </w:rPr>
        <w:t xml:space="preserve">gsbgoldmarketing.zip, which contains the following folders:</w:t>
      </w:r>
    </w:p>
    <w:p>
      <w:pPr/>
      <w:r>
        <w:rPr>
          <w:rFonts w:ascii="Helvetica" w:hAnsi="Helvetica" w:cs="Helvetica"/>
          <w:sz w:val="30"/>
          <w:sz-cs w:val="30"/>
        </w:rPr>
        <w:t xml:space="preserve"/>
        <w:tab/>
        <w:t xml:space="preserve">- Banners</w:t>
      </w:r>
    </w:p>
    <w:p>
      <w:pPr/>
      <w:r>
        <w:rPr>
          <w:rFonts w:ascii="Helvetica" w:hAnsi="Helvetica" w:cs="Helvetica"/>
          <w:sz w:val="30"/>
          <w:sz-cs w:val="30"/>
        </w:rPr>
        <w:t xml:space="preserve"/>
        <w:tab/>
        <w:t xml:space="preserve">- Desktop Wallpapers</w:t>
      </w:r>
    </w:p>
    <w:p>
      <w:pPr/>
      <w:r>
        <w:rPr>
          <w:rFonts w:ascii="Helvetica" w:hAnsi="Helvetica" w:cs="Helvetica"/>
          <w:sz w:val="30"/>
          <w:sz-cs w:val="30"/>
        </w:rPr>
        <w:t xml:space="preserve"/>
        <w:tab/>
        <w:t xml:space="preserve">- Fonts</w:t>
      </w:r>
    </w:p>
    <w:p>
      <w:pPr/>
      <w:r>
        <w:rPr>
          <w:rFonts w:ascii="Helvetica" w:hAnsi="Helvetica" w:cs="Helvetica"/>
          <w:sz w:val="30"/>
          <w:sz-cs w:val="30"/>
        </w:rPr>
        <w:t xml:space="preserve"/>
        <w:tab/>
        <w:t xml:space="preserve">- Logo</w:t>
      </w:r>
    </w:p>
    <w:p>
      <w:pPr/>
      <w:r>
        <w:rPr>
          <w:rFonts w:ascii="Helvetica" w:hAnsi="Helvetica" w:cs="Helvetica"/>
          <w:sz w:val="30"/>
          <w:sz-cs w:val="30"/>
        </w:rPr>
        <w:t xml:space="preserve"/>
        <w:tab/>
        <w:t xml:space="preserve">- Social Cover Images</w:t>
      </w:r>
    </w:p>
    <w:p>
      <w:pPr/>
      <w:r>
        <w:rPr>
          <w:rFonts w:ascii="Helvetica" w:hAnsi="Helvetica" w:cs="Helvetica"/>
          <w:sz w:val="30"/>
          <w:sz-cs w:val="30"/>
        </w:rPr>
        <w:t xml:space="preserve"/>
      </w:r>
    </w:p>
    <w:p>
      <w:pPr/>
      <w:r>
        <w:rPr>
          <w:rFonts w:ascii="Helvetica" w:hAnsi="Helvetica" w:cs="Helvetica"/>
          <w:sz w:val="30"/>
          <w:sz-cs w:val="30"/>
        </w:rPr>
        <w:t xml:space="preserve">GSB GOLD STANDARD BANKING CORPORATION AG</w:t>
      </w:r>
    </w:p>
    <w:p>
      <w:pPr/>
      <w:r>
        <w:rPr>
          <w:rFonts w:ascii="Helvetica" w:hAnsi="Helvetica" w:cs="Helvetica"/>
          <w:sz w:val="30"/>
          <w:sz-cs w:val="30"/>
        </w:rPr>
        <w:t xml:space="preserve"/>
      </w:r>
    </w:p>
    <w:p>
      <w:pPr/>
      <w:r>
        <w:rPr>
          <w:rFonts w:ascii="Helvetica" w:hAnsi="Helvetica" w:cs="Helvetica"/>
          <w:sz w:val="30"/>
          <w:sz-cs w:val="30"/>
        </w:rPr>
        <w:t xml:space="preserve"/>
      </w:r>
    </w:p>
    <w:p>
      <w:pPr/>
      <w:r>
        <w:rPr>
          <w:rFonts w:ascii="Helvetica" w:hAnsi="Helvetica" w:cs="Helvetica"/>
          <w:sz w:val="30"/>
          <w:sz-cs w:val="30"/>
        </w:rPr>
        <w:t xml:space="preserve"/>
      </w:r>
    </w:p>
    <w:sectPr>
      <w:pgSz w:w="11900" w:h="16840"/>
      <w:pgMar w:top="1417" w:right="1417" w:bottom="1134"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coreProperties>
</file>

<file path=docProps/meta.xml><?xml version="1.0" encoding="utf-8"?>
<meta xmlns="http://schemas.apple.com/cocoa/2006/metadata">
  <generator>CocoaOOXMLWriter/1894.6</generator>
</meta>
</file>